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line="417" w:lineRule="auto" w:before="223"/>
        <w:ind w:left="120" w:right="257"/>
        <w:jc w:val="both"/>
      </w:pPr>
      <w:r>
        <w:rPr>
          <w:spacing w:val="-11"/>
        </w:rPr>
        <w:t>随着营改增的深入，建筑业的纳税也发生了很大变化，进行税务筹划的前提，就是深刻了解建筑业的环境及行情，今天来看纷繁复杂的建</w:t>
      </w:r>
      <w:r>
        <w:rPr>
          <w:spacing w:val="-5"/>
        </w:rPr>
        <w:t>筑业个税如何进行税收筹划。</w:t>
      </w:r>
    </w:p>
    <w:p>
      <w:pPr>
        <w:pStyle w:val="BodyText"/>
      </w:pPr>
    </w:p>
    <w:p>
      <w:pPr>
        <w:pStyle w:val="BodyText"/>
        <w:spacing w:before="4"/>
        <w:rPr>
          <w:sz w:val="21"/>
        </w:rPr>
      </w:pPr>
    </w:p>
    <w:p>
      <w:pPr>
        <w:pStyle w:val="BodyText"/>
        <w:ind w:left="120"/>
        <w:rPr>
          <w:rFonts w:ascii="Calibri"/>
        </w:rPr>
      </w:pPr>
      <w:r>
        <w:rPr/>
        <w:drawing>
          <wp:anchor distT="0" distB="0" distL="0" distR="0" allowOverlap="1" layoutInCell="1" locked="0" behindDoc="1" simplePos="0" relativeHeight="251553792">
            <wp:simplePos x="0" y="0"/>
            <wp:positionH relativeFrom="page">
              <wp:posOffset>1283208</wp:posOffset>
            </wp:positionH>
            <wp:positionV relativeFrom="paragraph">
              <wp:posOffset>89408</wp:posOffset>
            </wp:positionV>
            <wp:extent cx="5030724" cy="496366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030724" cy="4963668"/>
                    </a:xfrm>
                    <a:prstGeom prst="rect">
                      <a:avLst/>
                    </a:prstGeom>
                  </pic:spPr>
                </pic:pic>
              </a:graphicData>
            </a:graphic>
          </wp:anchor>
        </w:drawing>
      </w:r>
      <w:r>
        <w:rPr>
          <w:rFonts w:ascii="Calibri"/>
        </w:rPr>
        <w:t>No.01</w:t>
      </w:r>
    </w:p>
    <w:p>
      <w:pPr>
        <w:pStyle w:val="BodyText"/>
        <w:spacing w:before="5"/>
        <w:rPr>
          <w:rFonts w:ascii="Calibri"/>
          <w:sz w:val="22"/>
        </w:rPr>
      </w:pPr>
    </w:p>
    <w:p>
      <w:pPr>
        <w:pStyle w:val="BodyText"/>
        <w:ind w:left="120"/>
        <w:rPr>
          <w:rFonts w:ascii="Calibri" w:hAnsi="Calibri" w:eastAsia="Calibri"/>
        </w:rPr>
      </w:pPr>
      <w:r>
        <w:rPr>
          <w:rFonts w:ascii="Calibri" w:hAnsi="Calibri" w:eastAsia="Calibri"/>
        </w:rPr>
        <w:t>“</w:t>
      </w:r>
      <w:r>
        <w:rPr/>
        <w:t>核定征收</w:t>
      </w:r>
      <w:r>
        <w:rPr>
          <w:rFonts w:ascii="Calibri" w:hAnsi="Calibri" w:eastAsia="Calibri"/>
        </w:rPr>
        <w:t>”</w:t>
      </w:r>
    </w:p>
    <w:p>
      <w:pPr>
        <w:pStyle w:val="BodyText"/>
        <w:rPr>
          <w:rFonts w:ascii="Calibri"/>
          <w:sz w:val="30"/>
        </w:rPr>
      </w:pPr>
    </w:p>
    <w:p>
      <w:pPr>
        <w:pStyle w:val="BodyText"/>
        <w:spacing w:before="10"/>
        <w:rPr>
          <w:rFonts w:ascii="Calibri"/>
          <w:sz w:val="42"/>
        </w:rPr>
      </w:pPr>
    </w:p>
    <w:p>
      <w:pPr>
        <w:pStyle w:val="BodyText"/>
        <w:spacing w:line="417" w:lineRule="auto"/>
        <w:ind w:left="120" w:right="255"/>
        <w:jc w:val="both"/>
      </w:pPr>
      <w:r>
        <w:rPr>
          <w:spacing w:val="-10"/>
        </w:rPr>
        <w:t>施工人员经常跨地区、跨企业、跨项目做业，要保证全体人员全额的申请个人所得税难度系数十分大，在其他配套设施规章制度不完善的</w:t>
      </w:r>
      <w:r>
        <w:rPr>
          <w:spacing w:val="-4"/>
        </w:rPr>
        <w:t>状况下保证建筑行业全体人员全额的征管是不实际的。</w:t>
      </w:r>
    </w:p>
    <w:p>
      <w:pPr>
        <w:pStyle w:val="BodyText"/>
      </w:pPr>
    </w:p>
    <w:p>
      <w:pPr>
        <w:pStyle w:val="BodyText"/>
        <w:spacing w:before="8"/>
        <w:rPr>
          <w:sz w:val="20"/>
        </w:rPr>
      </w:pPr>
    </w:p>
    <w:p>
      <w:pPr>
        <w:pStyle w:val="BodyText"/>
        <w:spacing w:line="417" w:lineRule="auto"/>
        <w:ind w:left="120" w:right="257"/>
        <w:jc w:val="both"/>
      </w:pPr>
      <w:r>
        <w:rPr>
          <w:spacing w:val="2"/>
        </w:rPr>
        <w:t>因而</w:t>
      </w:r>
      <w:r>
        <w:rPr>
          <w:rFonts w:ascii="Calibri" w:eastAsia="Calibri"/>
        </w:rPr>
        <w:t>,</w:t>
      </w:r>
      <w:r>
        <w:rPr/>
        <w:t>建筑行业的个税申报，基本都依据工程项目所在区域依据工程</w:t>
      </w:r>
      <w:r>
        <w:rPr>
          <w:spacing w:val="3"/>
        </w:rPr>
        <w:t>项目总额核定征收，这种情况下就不用全体人员全额的扣缴明细申报。</w:t>
      </w:r>
    </w:p>
    <w:p>
      <w:pPr>
        <w:pStyle w:val="BodyText"/>
      </w:pPr>
    </w:p>
    <w:p>
      <w:pPr>
        <w:pStyle w:val="BodyText"/>
        <w:spacing w:before="9"/>
        <w:rPr>
          <w:sz w:val="20"/>
        </w:rPr>
      </w:pPr>
    </w:p>
    <w:p>
      <w:pPr>
        <w:pStyle w:val="BodyText"/>
        <w:spacing w:line="417" w:lineRule="auto"/>
        <w:ind w:left="120" w:right="257"/>
      </w:pPr>
      <w:r>
        <w:rPr>
          <w:spacing w:val="3"/>
        </w:rPr>
        <w:t>员工工资表原则上是按实列支，有差异税局可能沒有办法来调查核实。</w:t>
      </w:r>
    </w:p>
    <w:p>
      <w:pPr>
        <w:pStyle w:val="BodyText"/>
      </w:pPr>
    </w:p>
    <w:p>
      <w:pPr>
        <w:pStyle w:val="BodyText"/>
        <w:spacing w:before="8"/>
        <w:rPr>
          <w:sz w:val="20"/>
        </w:rPr>
      </w:pPr>
    </w:p>
    <w:p>
      <w:pPr>
        <w:pStyle w:val="BodyText"/>
        <w:ind w:left="120"/>
      </w:pPr>
      <w:r>
        <w:rPr/>
        <w:t>那么：核定征收民工个人社保该怎么办？</w:t>
      </w:r>
    </w:p>
    <w:p>
      <w:pPr>
        <w:pStyle w:val="BodyText"/>
      </w:pPr>
    </w:p>
    <w:p>
      <w:pPr>
        <w:pStyle w:val="BodyText"/>
        <w:spacing w:before="5"/>
        <w:rPr>
          <w:sz w:val="41"/>
        </w:rPr>
      </w:pPr>
    </w:p>
    <w:p>
      <w:pPr>
        <w:pStyle w:val="BodyText"/>
        <w:spacing w:before="1"/>
        <w:ind w:left="120"/>
      </w:pPr>
      <w:r>
        <w:rPr>
          <w:spacing w:val="-6"/>
        </w:rPr>
        <w:t>依据中华人民共和国人力资源和社会保障部令</w:t>
      </w:r>
      <w:r>
        <w:rPr>
          <w:spacing w:val="-3"/>
        </w:rPr>
        <w:t>（</w:t>
      </w:r>
      <w:r>
        <w:rPr>
          <w:spacing w:val="-35"/>
        </w:rPr>
        <w:t>第 </w:t>
      </w:r>
      <w:r>
        <w:rPr>
          <w:rFonts w:ascii="Calibri" w:eastAsia="Calibri"/>
        </w:rPr>
        <w:t>10 </w:t>
      </w:r>
      <w:r>
        <w:rPr/>
        <w:t>号</w:t>
      </w:r>
      <w:r>
        <w:rPr>
          <w:spacing w:val="-51"/>
        </w:rPr>
        <w:t>）</w:t>
      </w:r>
      <w:r>
        <w:rPr>
          <w:spacing w:val="-2"/>
        </w:rPr>
        <w:t>明文规定：</w:t>
      </w:r>
    </w:p>
    <w:p>
      <w:pPr>
        <w:spacing w:after="0"/>
        <w:sectPr>
          <w:headerReference w:type="default" r:id="rId5"/>
          <w:type w:val="continuous"/>
          <w:pgSz w:w="11910" w:h="16840"/>
          <w:pgMar w:header="1131" w:top="1700" w:bottom="280" w:left="1680" w:right="1540"/>
        </w:sectPr>
      </w:pPr>
    </w:p>
    <w:p>
      <w:pPr>
        <w:pStyle w:val="BodyText"/>
        <w:spacing w:before="12"/>
        <w:rPr>
          <w:sz w:val="25"/>
        </w:rPr>
      </w:pPr>
    </w:p>
    <w:p>
      <w:pPr>
        <w:pStyle w:val="BodyText"/>
        <w:spacing w:line="417" w:lineRule="auto" w:before="61"/>
        <w:ind w:left="120" w:right="257"/>
      </w:pPr>
      <w:r>
        <w:rPr>
          <w:spacing w:val="-8"/>
        </w:rPr>
        <w:t>建筑企业能够实行以建筑施工项目为单位，依照项目工程项目总造价</w:t>
      </w:r>
      <w:r>
        <w:rPr>
          <w:spacing w:val="-3"/>
        </w:rPr>
        <w:t>的一定比例，统计交纳工伤险费。</w:t>
      </w:r>
    </w:p>
    <w:p>
      <w:pPr>
        <w:pStyle w:val="BodyText"/>
      </w:pPr>
    </w:p>
    <w:p>
      <w:pPr>
        <w:pStyle w:val="BodyText"/>
        <w:spacing w:before="5"/>
        <w:rPr>
          <w:sz w:val="21"/>
        </w:rPr>
      </w:pPr>
    </w:p>
    <w:p>
      <w:pPr>
        <w:pStyle w:val="BodyText"/>
        <w:ind w:left="120"/>
        <w:rPr>
          <w:rFonts w:ascii="Calibri"/>
        </w:rPr>
      </w:pPr>
      <w:r>
        <w:rPr>
          <w:rFonts w:ascii="Calibri"/>
        </w:rPr>
        <w:t>No.02</w:t>
      </w:r>
    </w:p>
    <w:p>
      <w:pPr>
        <w:pStyle w:val="BodyText"/>
        <w:spacing w:before="5"/>
        <w:rPr>
          <w:rFonts w:ascii="Calibri"/>
          <w:sz w:val="22"/>
        </w:rPr>
      </w:pPr>
    </w:p>
    <w:p>
      <w:pPr>
        <w:pStyle w:val="BodyText"/>
        <w:ind w:left="120"/>
        <w:rPr>
          <w:rFonts w:ascii="Calibri" w:hAnsi="Calibri" w:eastAsia="Calibri"/>
        </w:rPr>
      </w:pPr>
      <w:r>
        <w:rPr/>
        <w:drawing>
          <wp:anchor distT="0" distB="0" distL="0" distR="0" allowOverlap="1" layoutInCell="1" locked="0" behindDoc="1" simplePos="0" relativeHeight="251554816">
            <wp:simplePos x="0" y="0"/>
            <wp:positionH relativeFrom="page">
              <wp:posOffset>1283208</wp:posOffset>
            </wp:positionH>
            <wp:positionV relativeFrom="paragraph">
              <wp:posOffset>94868</wp:posOffset>
            </wp:positionV>
            <wp:extent cx="5030724" cy="4963668"/>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5030724" cy="4963668"/>
                    </a:xfrm>
                    <a:prstGeom prst="rect">
                      <a:avLst/>
                    </a:prstGeom>
                  </pic:spPr>
                </pic:pic>
              </a:graphicData>
            </a:graphic>
          </wp:anchor>
        </w:drawing>
      </w:r>
      <w:r>
        <w:rPr>
          <w:rFonts w:ascii="Calibri" w:hAnsi="Calibri" w:eastAsia="Calibri"/>
        </w:rPr>
        <w:t>“</w:t>
      </w:r>
      <w:r>
        <w:rPr/>
        <w:t>以个体户名义承包</w:t>
      </w:r>
      <w:r>
        <w:rPr>
          <w:rFonts w:ascii="Calibri" w:hAnsi="Calibri" w:eastAsia="Calibri"/>
        </w:rPr>
        <w:t>”</w:t>
      </w:r>
    </w:p>
    <w:p>
      <w:pPr>
        <w:pStyle w:val="BodyText"/>
        <w:rPr>
          <w:rFonts w:ascii="Calibri"/>
          <w:sz w:val="30"/>
        </w:rPr>
      </w:pPr>
    </w:p>
    <w:p>
      <w:pPr>
        <w:pStyle w:val="BodyText"/>
        <w:spacing w:before="10"/>
        <w:rPr>
          <w:rFonts w:ascii="Calibri"/>
          <w:sz w:val="42"/>
        </w:rPr>
      </w:pPr>
    </w:p>
    <w:p>
      <w:pPr>
        <w:pStyle w:val="BodyText"/>
        <w:spacing w:line="417" w:lineRule="auto"/>
        <w:ind w:left="120" w:right="257"/>
      </w:pPr>
      <w:r>
        <w:rPr/>
        <w:t>建筑施工企业与个人承包人签署建筑劳务承包合同书的用工形式在建筑行业中都是很普遍的。</w:t>
      </w:r>
    </w:p>
    <w:p>
      <w:pPr>
        <w:pStyle w:val="BodyText"/>
      </w:pPr>
    </w:p>
    <w:p>
      <w:pPr>
        <w:pStyle w:val="BodyText"/>
        <w:spacing w:before="8"/>
        <w:rPr>
          <w:sz w:val="20"/>
        </w:rPr>
      </w:pPr>
    </w:p>
    <w:p>
      <w:pPr>
        <w:pStyle w:val="BodyText"/>
        <w:spacing w:line="417" w:lineRule="auto" w:before="1"/>
        <w:ind w:left="120" w:right="257"/>
      </w:pPr>
      <w:r>
        <w:rPr>
          <w:spacing w:val="-9"/>
        </w:rPr>
        <w:t>向承包人支付劳务费的时候，他以个体户的名义去税局代开票，而且</w:t>
      </w:r>
      <w:r>
        <w:rPr>
          <w:spacing w:val="-13"/>
        </w:rPr>
        <w:t>每一月不超出 </w:t>
      </w:r>
      <w:r>
        <w:rPr>
          <w:rFonts w:ascii="Calibri" w:eastAsia="Calibri"/>
        </w:rPr>
        <w:t>10 </w:t>
      </w:r>
      <w:r>
        <w:rPr>
          <w:spacing w:val="-3"/>
        </w:rPr>
        <w:t>万免征增值税。</w:t>
      </w:r>
    </w:p>
    <w:p>
      <w:pPr>
        <w:pStyle w:val="BodyText"/>
        <w:rPr>
          <w:sz w:val="30"/>
        </w:rPr>
      </w:pPr>
    </w:p>
    <w:p>
      <w:pPr>
        <w:pStyle w:val="BodyText"/>
        <w:spacing w:line="417" w:lineRule="auto" w:before="239"/>
        <w:ind w:left="120" w:right="118"/>
      </w:pPr>
      <w:r>
        <w:rPr/>
        <w:t>依据劳社部发〔</w:t>
      </w:r>
      <w:r>
        <w:rPr>
          <w:rFonts w:ascii="Calibri" w:eastAsia="Calibri"/>
        </w:rPr>
        <w:t>2005</w:t>
      </w:r>
      <w:r>
        <w:rPr/>
        <w:t>〕</w:t>
      </w:r>
      <w:r>
        <w:rPr>
          <w:rFonts w:ascii="Calibri" w:eastAsia="Calibri"/>
        </w:rPr>
        <w:t>12 </w:t>
      </w:r>
      <w:r>
        <w:rPr/>
        <w:t>号规定：建筑施工、矿山企业等用人单位</w:t>
      </w:r>
      <w:r>
        <w:rPr>
          <w:spacing w:val="-41"/>
        </w:rPr>
        <w:t>将工程</w:t>
      </w:r>
      <w:r>
        <w:rPr>
          <w:spacing w:val="-1"/>
        </w:rPr>
        <w:t>（</w:t>
      </w:r>
      <w:r>
        <w:rPr>
          <w:spacing w:val="-2"/>
        </w:rPr>
        <w:t>业务</w:t>
      </w:r>
      <w:r>
        <w:rPr>
          <w:spacing w:val="-118"/>
        </w:rPr>
        <w:t>）</w:t>
      </w:r>
      <w:r>
        <w:rPr>
          <w:spacing w:val="-3"/>
        </w:rPr>
        <w:t>或经营权发包给不具有用工主体资格的组织或自然人， </w:t>
      </w:r>
      <w:r>
        <w:rPr>
          <w:spacing w:val="-10"/>
        </w:rPr>
        <w:t>对该组织或自然人招用的劳动者，由具有用工主体资格的发包方承担</w:t>
      </w:r>
      <w:r>
        <w:rPr>
          <w:spacing w:val="-4"/>
        </w:rPr>
        <w:t>用工主体责任。</w:t>
      </w:r>
    </w:p>
    <w:p>
      <w:pPr>
        <w:pStyle w:val="BodyText"/>
      </w:pPr>
    </w:p>
    <w:p>
      <w:pPr>
        <w:pStyle w:val="BodyText"/>
        <w:spacing w:before="8"/>
        <w:rPr>
          <w:sz w:val="20"/>
        </w:rPr>
      </w:pPr>
    </w:p>
    <w:p>
      <w:pPr>
        <w:pStyle w:val="BodyText"/>
        <w:ind w:left="120"/>
      </w:pPr>
      <w:r>
        <w:rPr/>
        <w:t>因个体户不具有主体资格，农民工的安全管理依然是建筑工程公司担</w:t>
      </w:r>
    </w:p>
    <w:p>
      <w:pPr>
        <w:pStyle w:val="BodyText"/>
        <w:spacing w:before="11"/>
        <w:rPr>
          <w:sz w:val="15"/>
        </w:rPr>
      </w:pPr>
    </w:p>
    <w:p>
      <w:pPr>
        <w:pStyle w:val="BodyText"/>
        <w:spacing w:before="62"/>
        <w:ind w:left="120"/>
      </w:pPr>
      <w:r>
        <w:rPr/>
        <w:t>负。</w:t>
      </w:r>
    </w:p>
    <w:p>
      <w:pPr>
        <w:spacing w:line="242" w:lineRule="auto" w:before="135"/>
        <w:ind w:left="2349" w:right="2482" w:firstLine="0"/>
        <w:jc w:val="left"/>
        <w:rPr>
          <w:b/>
          <w:sz w:val="48"/>
        </w:rPr>
      </w:pPr>
      <w:r>
        <w:rPr>
          <w:b/>
          <w:color w:val="1F487C"/>
          <w:sz w:val="48"/>
        </w:rPr>
        <w:t>更多财务一手资料敬请关注财税攻略</w:t>
      </w:r>
    </w:p>
    <w:p>
      <w:pPr>
        <w:spacing w:after="0" w:line="242" w:lineRule="auto"/>
        <w:jc w:val="left"/>
        <w:rPr>
          <w:sz w:val="48"/>
        </w:rPr>
        <w:sectPr>
          <w:pgSz w:w="11910" w:h="16840"/>
          <w:pgMar w:header="1131" w:footer="0" w:top="1760" w:bottom="280" w:left="1680" w:right="1540"/>
        </w:sectPr>
      </w:pPr>
    </w:p>
    <w:p>
      <w:pPr>
        <w:pStyle w:val="BodyText"/>
        <w:rPr>
          <w:rFonts w:ascii="Times New Roman"/>
          <w:sz w:val="20"/>
        </w:rPr>
      </w:pPr>
      <w:r>
        <w:rPr/>
        <w:drawing>
          <wp:anchor distT="0" distB="0" distL="0" distR="0" allowOverlap="1" layoutInCell="1" locked="0" behindDoc="1" simplePos="0" relativeHeight="251555840">
            <wp:simplePos x="0" y="0"/>
            <wp:positionH relativeFrom="page">
              <wp:posOffset>1143000</wp:posOffset>
            </wp:positionH>
            <wp:positionV relativeFrom="page">
              <wp:posOffset>1504188</wp:posOffset>
            </wp:positionV>
            <wp:extent cx="4292345" cy="4292346"/>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4292345" cy="4292346"/>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9"/>
        </w:rPr>
      </w:pPr>
    </w:p>
    <w:p>
      <w:pPr>
        <w:pStyle w:val="BodyText"/>
        <w:ind w:left="340"/>
        <w:rPr>
          <w:rFonts w:ascii="Times New Roman"/>
          <w:sz w:val="20"/>
        </w:rPr>
      </w:pPr>
      <w:r>
        <w:rPr>
          <w:rFonts w:ascii="Times New Roman"/>
          <w:sz w:val="20"/>
        </w:rPr>
        <w:drawing>
          <wp:inline distT="0" distB="0" distL="0" distR="0">
            <wp:extent cx="5029565" cy="4962525"/>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5029565" cy="4962525"/>
                    </a:xfrm>
                    <a:prstGeom prst="rect">
                      <a:avLst/>
                    </a:prstGeom>
                  </pic:spPr>
                </pic:pic>
              </a:graphicData>
            </a:graphic>
          </wp:inline>
        </w:drawing>
      </w:r>
      <w:r>
        <w:rPr>
          <w:rFonts w:ascii="Times New Roman"/>
          <w:sz w:val="20"/>
        </w:rPr>
      </w:r>
    </w:p>
    <w:sectPr>
      <w:pgSz w:w="11910" w:h="16840"/>
      <w:pgMar w:header="1131" w:footer="0" w:top="170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楷体">
    <w:altName w:val="华文楷体"/>
    <w:charset w:val="86"/>
    <w:family w:val="auto"/>
    <w:pitch w:val="variable"/>
  </w:font>
  <w:font w:name="宋体">
    <w:altName w:val="宋体"/>
    <w:charset w:val="86"/>
    <w:family w:val="auto"/>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762688" from="90pt,87.790024pt" to="505.3pt,87.790024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9.679993pt;margin-top:55.527325pt;width:156.1pt;height:30.6pt;mso-position-horizontal-relative:page;mso-position-vertical-relative:page;z-index:-251761664" type="#_x0000_t202" filled="false" stroked="false">
          <v:textbox inset="0,0,0,0">
            <w:txbxContent>
              <w:p>
                <w:pPr>
                  <w:spacing w:line="611" w:lineRule="exact" w:before="0"/>
                  <w:ind w:left="20" w:right="0" w:firstLine="0"/>
                  <w:jc w:val="left"/>
                  <w:rPr>
                    <w:rFonts w:ascii="华文楷体" w:eastAsia="华文楷体" w:hint="eastAsia"/>
                    <w:b/>
                    <w:sz w:val="44"/>
                  </w:rPr>
                </w:pPr>
                <w:r>
                  <w:rPr>
                    <w:rFonts w:ascii="华文楷体" w:eastAsia="华文楷体" w:hint="eastAsia"/>
                    <w:b/>
                    <w:color w:val="C00000"/>
                    <w:sz w:val="44"/>
                  </w:rPr>
                  <w:t>制作：财税攻略</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jikr04</dc:creator>
  <dcterms:created xsi:type="dcterms:W3CDTF">2020-10-19T08:55:10Z</dcterms:created>
  <dcterms:modified xsi:type="dcterms:W3CDTF">2020-10-19T08:55:10Z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WPS 文字</vt:lpwstr>
  </property>
  <property fmtid="{D5CDD505-2E9C-101B-9397-08002B2CF9AE}" pid="4" name="LastSaved">
    <vt:filetime>2020-10-19T00:00:00Z</vt:filetime>
  </property>
</Properties>
</file>