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74" w:rsidRDefault="0099764D">
      <w:pPr>
        <w:ind w:firstLineChars="200" w:firstLine="562"/>
        <w:rPr>
          <w:rFonts w:ascii="宋体" w:eastAsia="宋体" w:hAnsi="宋体"/>
          <w:b/>
          <w:bCs/>
          <w:sz w:val="28"/>
          <w:szCs w:val="28"/>
        </w:rPr>
      </w:pPr>
      <w:r>
        <w:rPr>
          <w:rFonts w:ascii="宋体" w:eastAsia="宋体" w:hAnsi="宋体" w:hint="eastAsia"/>
          <w:b/>
          <w:bCs/>
          <w:sz w:val="28"/>
          <w:szCs w:val="28"/>
        </w:rPr>
        <w:t>随着经济的发展，高收入人群的工资劳务报酬增长，或者高利润企业利润增长，导致个人的个人所得税越来越高，但是生活成本，压力等因为通货膨胀依旧还是这么大。</w:t>
      </w:r>
    </w:p>
    <w:p w:rsidR="00812E74" w:rsidRDefault="00C37037" w:rsidP="00C37037">
      <w:pPr>
        <w:ind w:firstLineChars="200" w:firstLine="562"/>
        <w:rPr>
          <w:rFonts w:ascii="宋体" w:eastAsia="宋体" w:hAnsi="宋体"/>
          <w:b/>
          <w:bCs/>
          <w:sz w:val="28"/>
          <w:szCs w:val="28"/>
        </w:rPr>
      </w:pPr>
      <w:r w:rsidRPr="00C37037">
        <w:rPr>
          <w:rFonts w:ascii="宋体" w:eastAsia="宋体" w:hAnsi="宋体" w:hint="eastAsia"/>
          <w:b/>
          <w:bCs/>
          <w:sz w:val="28"/>
          <w:szCs w:val="28"/>
        </w:rPr>
        <w:drawing>
          <wp:inline distT="0" distB="0" distL="114300" distR="114300">
            <wp:extent cx="4863465" cy="3014345"/>
            <wp:effectExtent l="0" t="0" r="13335" b="14605"/>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7"/>
                    <a:stretch>
                      <a:fillRect/>
                    </a:stretch>
                  </pic:blipFill>
                  <pic:spPr>
                    <a:xfrm>
                      <a:off x="0" y="0"/>
                      <a:ext cx="4863465" cy="3014345"/>
                    </a:xfrm>
                    <a:prstGeom prst="rect">
                      <a:avLst/>
                    </a:prstGeom>
                  </pic:spPr>
                </pic:pic>
              </a:graphicData>
            </a:graphic>
          </wp:inline>
        </w:drawing>
      </w:r>
    </w:p>
    <w:p w:rsidR="00812E74" w:rsidRDefault="0099764D">
      <w:pPr>
        <w:ind w:firstLineChars="200" w:firstLine="562"/>
        <w:rPr>
          <w:rFonts w:ascii="宋体" w:eastAsia="宋体" w:hAnsi="宋体"/>
          <w:b/>
          <w:bCs/>
          <w:sz w:val="28"/>
          <w:szCs w:val="28"/>
        </w:rPr>
      </w:pPr>
      <w:r>
        <w:rPr>
          <w:rFonts w:ascii="宋体" w:eastAsia="宋体" w:hAnsi="宋体" w:hint="eastAsia"/>
          <w:b/>
          <w:bCs/>
          <w:sz w:val="28"/>
          <w:szCs w:val="28"/>
        </w:rPr>
        <w:t>其实个人可以寻找一个个人所得税的筹划方案!这里以新个税法实施后的年终奖做个案例：</w:t>
      </w:r>
    </w:p>
    <w:p w:rsidR="00812E74" w:rsidRDefault="0099764D">
      <w:pPr>
        <w:pStyle w:val="a6"/>
        <w:shd w:val="clear" w:color="auto" w:fill="FFFFFF"/>
        <w:spacing w:before="0" w:beforeAutospacing="0" w:after="0" w:afterAutospacing="0"/>
        <w:ind w:firstLineChars="200" w:firstLine="560"/>
        <w:rPr>
          <w:color w:val="252525"/>
          <w:sz w:val="28"/>
          <w:szCs w:val="28"/>
        </w:rPr>
      </w:pPr>
      <w:r>
        <w:rPr>
          <w:rFonts w:hint="eastAsia"/>
          <w:color w:val="252525"/>
          <w:sz w:val="28"/>
          <w:szCs w:val="28"/>
        </w:rPr>
        <w:t>小林是某企业HR，听说新个税法要实施了，她比较关心年终奖的发放问题。怎么才能让员工多拿而少个税呢?</w:t>
      </w:r>
      <w:r>
        <w:rPr>
          <w:rFonts w:hint="eastAsia"/>
          <w:color w:val="333333"/>
          <w:sz w:val="28"/>
          <w:szCs w:val="28"/>
          <w:shd w:val="clear" w:color="auto" w:fill="FFFFFF"/>
        </w:rPr>
        <w:t xml:space="preserve"> </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“以前我们年终奖都是春节前发放，然后再分摊到各月进行税收计算，今年新个税法有一个按年扣除6万后起算的规定，公司领导说要提早安排起来，该怎么安排?”</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小林所在的企业为鼓励员工，每年不仅会按规定发放十三薪，还会给业绩优异的员工发放数额不小的年终奖，这几乎占了很多员工年薪的一半，如果发放不妥当，容易引发争议。</w:t>
      </w:r>
    </w:p>
    <w:p w:rsidR="00812E74" w:rsidRDefault="0099764D">
      <w:pPr>
        <w:pStyle w:val="a6"/>
        <w:shd w:val="clear" w:color="auto" w:fill="FFFFFF"/>
        <w:spacing w:before="0" w:beforeAutospacing="0" w:after="0" w:afterAutospacing="0"/>
        <w:jc w:val="center"/>
        <w:rPr>
          <w:color w:val="252525"/>
          <w:sz w:val="28"/>
          <w:szCs w:val="28"/>
        </w:rPr>
      </w:pPr>
      <w:r>
        <w:rPr>
          <w:rFonts w:hint="eastAsia"/>
          <w:noProof/>
          <w:color w:val="252525"/>
          <w:sz w:val="28"/>
          <w:szCs w:val="28"/>
        </w:rPr>
        <w:lastRenderedPageBreak/>
        <w:drawing>
          <wp:inline distT="0" distB="0" distL="0" distR="0">
            <wp:extent cx="3766820" cy="2429510"/>
            <wp:effectExtent l="0" t="0" r="5080" b="8890"/>
            <wp:docPr id="5" name="图片 5" descr="acabb57c-5822-4002-aac1-a27aa888d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abb57c-5822-4002-aac1-a27aa888d273"/>
                    <pic:cNvPicPr>
                      <a:picLocks noChangeAspect="1" noChangeArrowheads="1"/>
                    </pic:cNvPicPr>
                  </pic:nvPicPr>
                  <pic:blipFill>
                    <a:blip r:embed="rId8"/>
                    <a:srcRect/>
                    <a:stretch>
                      <a:fillRect/>
                    </a:stretch>
                  </pic:blipFill>
                  <pic:spPr>
                    <a:xfrm>
                      <a:off x="0" y="0"/>
                      <a:ext cx="3766820" cy="2429510"/>
                    </a:xfrm>
                    <a:prstGeom prst="rect">
                      <a:avLst/>
                    </a:prstGeom>
                    <a:noFill/>
                    <a:ln w="9525">
                      <a:noFill/>
                      <a:miter lim="800000"/>
                      <a:headEnd/>
                      <a:tailEnd/>
                    </a:ln>
                  </pic:spPr>
                </pic:pic>
              </a:graphicData>
            </a:graphic>
          </wp:inline>
        </w:drawing>
      </w:r>
    </w:p>
    <w:p w:rsidR="00812E74" w:rsidRDefault="0099764D">
      <w:pPr>
        <w:pStyle w:val="a6"/>
        <w:shd w:val="clear" w:color="auto" w:fill="FFFFFF"/>
        <w:spacing w:before="0" w:beforeAutospacing="0" w:after="0" w:afterAutospacing="0"/>
        <w:ind w:firstLine="560"/>
        <w:rPr>
          <w:color w:val="252525"/>
          <w:sz w:val="28"/>
          <w:szCs w:val="28"/>
        </w:rPr>
      </w:pPr>
      <w:r>
        <w:rPr>
          <w:rFonts w:hint="eastAsia"/>
          <w:color w:val="252525"/>
          <w:sz w:val="28"/>
          <w:szCs w:val="28"/>
        </w:rPr>
        <w:t>因此，在新个税法推出的背景下，小林尤其谨慎，她特别想了解今年的年终奖是否还有税收优惠?对于企业来说，年终奖什么时候发才最合适?</w:t>
      </w:r>
    </w:p>
    <w:p w:rsidR="00812E74" w:rsidRDefault="00812E74">
      <w:pPr>
        <w:pStyle w:val="a6"/>
        <w:shd w:val="clear" w:color="auto" w:fill="FFFFFF"/>
        <w:spacing w:before="0" w:beforeAutospacing="0" w:after="0" w:afterAutospacing="0"/>
        <w:ind w:firstLine="560"/>
        <w:rPr>
          <w:color w:val="252525"/>
          <w:sz w:val="28"/>
          <w:szCs w:val="28"/>
        </w:rPr>
      </w:pPr>
    </w:p>
    <w:p w:rsidR="00812E74" w:rsidRDefault="0099764D">
      <w:pPr>
        <w:pStyle w:val="3"/>
        <w:shd w:val="clear" w:color="auto" w:fill="FFFFFF"/>
        <w:spacing w:before="0" w:after="0"/>
        <w:rPr>
          <w:rFonts w:ascii="宋体" w:eastAsia="宋体" w:hAnsi="宋体"/>
          <w:color w:val="252525"/>
          <w:sz w:val="28"/>
          <w:szCs w:val="28"/>
        </w:rPr>
      </w:pPr>
      <w:r>
        <w:rPr>
          <w:rFonts w:ascii="宋体" w:eastAsia="宋体" w:hAnsi="宋体" w:hint="eastAsia"/>
          <w:color w:val="252525"/>
          <w:sz w:val="28"/>
          <w:szCs w:val="28"/>
        </w:rPr>
        <w:t xml:space="preserve">　　案例分析</w:t>
      </w:r>
    </w:p>
    <w:p w:rsidR="00812E74" w:rsidRDefault="0099764D">
      <w:pPr>
        <w:pStyle w:val="4"/>
        <w:shd w:val="clear" w:color="auto" w:fill="FFFFFF"/>
        <w:spacing w:before="0" w:after="0"/>
        <w:rPr>
          <w:rFonts w:ascii="宋体" w:eastAsia="宋体" w:hAnsi="宋体" w:cs="宋体"/>
          <w:color w:val="252525"/>
        </w:rPr>
      </w:pPr>
      <w:r>
        <w:rPr>
          <w:rStyle w:val="a7"/>
          <w:rFonts w:ascii="宋体" w:eastAsia="宋体" w:hAnsi="宋体" w:cs="宋体" w:hint="eastAsia"/>
          <w:b/>
          <w:bCs/>
          <w:color w:val="252525"/>
        </w:rPr>
        <w:t xml:space="preserve">　　1、不同时间点发放，差别大。</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本次个人所得税法修改之前，税法对工资薪金所得的个人所得税是按“月”征收方式，以月工资为应税所得。</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2018年个人所得税法修改的一大要点，就是工资薪金所得并入综合所得，采取“年”度计算收入的方式。年终奖作为全“年”收入，并入年度综合计算，自是理所当然。</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所以可以预见的是，国家税务总局2005年9号文《关于调整个人取得全年一次性奖金等计算征收个人所得税方法问题的通知》在新《个人所得税法》生效后自然失效。</w:t>
      </w:r>
    </w:p>
    <w:p w:rsidR="00812E74" w:rsidRDefault="0099764D">
      <w:pPr>
        <w:pStyle w:val="4"/>
        <w:shd w:val="clear" w:color="auto" w:fill="FFFFFF"/>
        <w:spacing w:before="0" w:after="0"/>
        <w:rPr>
          <w:rFonts w:ascii="宋体" w:eastAsia="宋体" w:hAnsi="宋体" w:cs="宋体"/>
          <w:color w:val="252525"/>
        </w:rPr>
      </w:pPr>
      <w:r>
        <w:rPr>
          <w:rFonts w:ascii="宋体" w:eastAsia="宋体" w:hAnsi="宋体" w:cs="宋体" w:hint="eastAsia"/>
          <w:color w:val="252525"/>
        </w:rPr>
        <w:lastRenderedPageBreak/>
        <w:t xml:space="preserve">　　2、2018年度年终奖应该什么时候发放更合理?</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所谓个人所得税，应以“所得”时间作为纳税义务产生与确定的时间，而不是以“应得”作为纳税义务产生与确定的时间。</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《关于贯彻执行修改后的个人所得税法有关问题的公告》明确：</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纳税人2011年9月1日(含)以后实际取得的工资、薪金所得，应适用税法修改后的减除费用标准和税率表，计算缴纳个人所得税。纳税人2011年9月1日前实际取得的工资、薪金所得，无论税款是否在2011年9月1日以后入库，均应适用税法修改前的减除费用标准和税率表，计算缴纳个人所得税。”</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该文件的逻辑即为个人所得税的计算与收取的确定以“实际取得”为原则。</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这一问题确定之后，那么2018年度年终奖应该什么时候发放也就明确了。</w:t>
      </w:r>
    </w:p>
    <w:p w:rsidR="00812E74" w:rsidRDefault="0099764D">
      <w:pPr>
        <w:pStyle w:val="4"/>
        <w:shd w:val="clear" w:color="auto" w:fill="FFFFFF"/>
        <w:spacing w:before="0" w:after="0"/>
        <w:rPr>
          <w:rFonts w:ascii="宋体" w:eastAsia="宋体" w:hAnsi="宋体" w:cs="宋体"/>
          <w:color w:val="252525"/>
        </w:rPr>
      </w:pPr>
      <w:r>
        <w:rPr>
          <w:rFonts w:ascii="宋体" w:eastAsia="宋体" w:hAnsi="宋体" w:cs="宋体" w:hint="eastAsia"/>
          <w:color w:val="252525"/>
        </w:rPr>
        <w:t xml:space="preserve">　　2018年12月31日前发放年终奖：</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《个人所得税法》修改正式生效日期是2019年1月1日，2018年12月31日之前仍然适用2011年版《个人所得税法》。</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即2018年12月31日之前(包括当日)对于个人所得税采取按“月”征收的方式，在2018年12月31日之前(包括当日)发放的年终奖，适用老政策确定的计算方式，除以12，分摊到各个月份分别计算。</w:t>
      </w:r>
    </w:p>
    <w:p w:rsidR="00812E74" w:rsidRDefault="0099764D">
      <w:pPr>
        <w:pStyle w:val="4"/>
        <w:shd w:val="clear" w:color="auto" w:fill="FFFFFF"/>
        <w:spacing w:before="0" w:after="0"/>
        <w:rPr>
          <w:rFonts w:ascii="宋体" w:eastAsia="宋体" w:hAnsi="宋体" w:cs="宋体"/>
          <w:color w:val="252525"/>
        </w:rPr>
      </w:pPr>
      <w:r>
        <w:rPr>
          <w:rFonts w:ascii="宋体" w:eastAsia="宋体" w:hAnsi="宋体" w:cs="宋体" w:hint="eastAsia"/>
          <w:color w:val="252525"/>
        </w:rPr>
        <w:t xml:space="preserve">　　2019年1月1日之后(包括当日)发放的年终奖：</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以“实际取得”为原则，已经构成2019年的收入，不应该分摊到2018年的各个月份，应计入2019年所得，与2019年度的其他综</w:t>
      </w:r>
      <w:r>
        <w:rPr>
          <w:rFonts w:hint="eastAsia"/>
          <w:color w:val="252525"/>
          <w:sz w:val="28"/>
          <w:szCs w:val="28"/>
        </w:rPr>
        <w:lastRenderedPageBreak/>
        <w:t>合所得一起纳入年度所得，在扣除6万元免征额以后根据余额区间适用个人所得税税率。</w:t>
      </w:r>
    </w:p>
    <w:p w:rsidR="00812E74" w:rsidRDefault="0099764D">
      <w:pPr>
        <w:pStyle w:val="a6"/>
        <w:shd w:val="clear" w:color="auto" w:fill="FFFFFF"/>
        <w:spacing w:before="0" w:beforeAutospacing="0" w:after="0" w:afterAutospacing="0"/>
        <w:jc w:val="center"/>
        <w:rPr>
          <w:color w:val="252525"/>
          <w:sz w:val="28"/>
          <w:szCs w:val="28"/>
        </w:rPr>
      </w:pPr>
      <w:r>
        <w:rPr>
          <w:rFonts w:hint="eastAsia"/>
          <w:noProof/>
          <w:color w:val="252525"/>
          <w:sz w:val="28"/>
          <w:szCs w:val="28"/>
        </w:rPr>
        <w:drawing>
          <wp:inline distT="0" distB="0" distL="0" distR="0">
            <wp:extent cx="3747770" cy="2309495"/>
            <wp:effectExtent l="0" t="0" r="5080" b="14605"/>
            <wp:docPr id="6" name="图片 6" descr="2018112169370_4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8112169370_44503"/>
                    <pic:cNvPicPr>
                      <a:picLocks noChangeAspect="1" noChangeArrowheads="1"/>
                    </pic:cNvPicPr>
                  </pic:nvPicPr>
                  <pic:blipFill>
                    <a:blip r:embed="rId9"/>
                    <a:srcRect/>
                    <a:stretch>
                      <a:fillRect/>
                    </a:stretch>
                  </pic:blipFill>
                  <pic:spPr>
                    <a:xfrm>
                      <a:off x="0" y="0"/>
                      <a:ext cx="3747770" cy="2309495"/>
                    </a:xfrm>
                    <a:prstGeom prst="rect">
                      <a:avLst/>
                    </a:prstGeom>
                    <a:noFill/>
                    <a:ln w="9525">
                      <a:noFill/>
                      <a:miter lim="800000"/>
                      <a:headEnd/>
                      <a:tailEnd/>
                    </a:ln>
                  </pic:spPr>
                </pic:pic>
              </a:graphicData>
            </a:graphic>
          </wp:inline>
        </w:drawing>
      </w:r>
    </w:p>
    <w:p w:rsidR="00812E74" w:rsidRDefault="0099764D">
      <w:pPr>
        <w:pStyle w:val="3"/>
        <w:shd w:val="clear" w:color="auto" w:fill="FFFFFF"/>
        <w:spacing w:before="0" w:after="0"/>
        <w:rPr>
          <w:rFonts w:ascii="宋体" w:eastAsia="宋体" w:hAnsi="宋体"/>
          <w:color w:val="252525"/>
          <w:sz w:val="28"/>
          <w:szCs w:val="28"/>
        </w:rPr>
      </w:pPr>
      <w:r>
        <w:rPr>
          <w:rFonts w:ascii="宋体" w:eastAsia="宋体" w:hAnsi="宋体" w:hint="eastAsia"/>
          <w:color w:val="252525"/>
          <w:sz w:val="28"/>
          <w:szCs w:val="28"/>
        </w:rPr>
        <w:t xml:space="preserve">　　案例总结</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1、年终奖在2018年12月31日之前发放，可以除以12，分摊到各个月份分别计算税率，并且不计入2019年度综合所得。</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年终奖2018年9月份发(2018年10月份申报)适用旧扣除额3500和旧税率;</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年终奖2018年10月-12月发(2018年11月-2019年1月份申报)适用新扣除额5000和新税率。</w:t>
      </w:r>
    </w:p>
    <w:p w:rsidR="00812E74" w:rsidRDefault="0099764D">
      <w:pPr>
        <w:pStyle w:val="a6"/>
        <w:shd w:val="clear" w:color="auto" w:fill="FFFFFF"/>
        <w:spacing w:before="0" w:beforeAutospacing="0" w:after="0" w:afterAutospacing="0"/>
        <w:rPr>
          <w:color w:val="252525"/>
          <w:sz w:val="28"/>
          <w:szCs w:val="28"/>
        </w:rPr>
      </w:pPr>
      <w:r>
        <w:rPr>
          <w:rFonts w:hint="eastAsia"/>
          <w:color w:val="252525"/>
          <w:sz w:val="28"/>
          <w:szCs w:val="28"/>
        </w:rPr>
        <w:t xml:space="preserve">　　2、在2019年1月1日之后发放，不能除以12分摊到各个月份分别计算税率，应计入2019年度综合所得合并纳税。</w:t>
      </w:r>
    </w:p>
    <w:sectPr w:rsidR="00812E74" w:rsidSect="00812E7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85E" w:rsidRDefault="0076385E" w:rsidP="00812E74">
      <w:r>
        <w:separator/>
      </w:r>
    </w:p>
  </w:endnote>
  <w:endnote w:type="continuationSeparator" w:id="1">
    <w:p w:rsidR="0076385E" w:rsidRDefault="0076385E" w:rsidP="00812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74" w:rsidRDefault="009B6358">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812E74" w:rsidRDefault="009B6358">
                <w:pPr>
                  <w:pStyle w:val="a4"/>
                </w:pPr>
                <w:r>
                  <w:rPr>
                    <w:rFonts w:hint="eastAsia"/>
                  </w:rPr>
                  <w:fldChar w:fldCharType="begin"/>
                </w:r>
                <w:r w:rsidR="0099764D">
                  <w:rPr>
                    <w:rFonts w:hint="eastAsia"/>
                  </w:rPr>
                  <w:instrText xml:space="preserve"> PAGE  \* MERGEFORMAT </w:instrText>
                </w:r>
                <w:r>
                  <w:rPr>
                    <w:rFonts w:hint="eastAsia"/>
                  </w:rPr>
                  <w:fldChar w:fldCharType="separate"/>
                </w:r>
                <w:r w:rsidR="00C3703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85E" w:rsidRDefault="0076385E" w:rsidP="00812E74">
      <w:r>
        <w:separator/>
      </w:r>
    </w:p>
  </w:footnote>
  <w:footnote w:type="continuationSeparator" w:id="1">
    <w:p w:rsidR="0076385E" w:rsidRDefault="0076385E" w:rsidP="00812E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44917E7"/>
    <w:rsid w:val="001F5D08"/>
    <w:rsid w:val="00725851"/>
    <w:rsid w:val="0076385E"/>
    <w:rsid w:val="00812E74"/>
    <w:rsid w:val="0099764D"/>
    <w:rsid w:val="009B6358"/>
    <w:rsid w:val="00AB62A7"/>
    <w:rsid w:val="00C37037"/>
    <w:rsid w:val="00FD230F"/>
    <w:rsid w:val="0C562721"/>
    <w:rsid w:val="1427021D"/>
    <w:rsid w:val="14B64CAE"/>
    <w:rsid w:val="155368EF"/>
    <w:rsid w:val="16673E92"/>
    <w:rsid w:val="1CD92B5A"/>
    <w:rsid w:val="1E112E21"/>
    <w:rsid w:val="2C8B5B80"/>
    <w:rsid w:val="2FD2514E"/>
    <w:rsid w:val="331D63BC"/>
    <w:rsid w:val="341C6439"/>
    <w:rsid w:val="344917E7"/>
    <w:rsid w:val="408053B8"/>
    <w:rsid w:val="40C076D6"/>
    <w:rsid w:val="47525DA2"/>
    <w:rsid w:val="48C24E17"/>
    <w:rsid w:val="4E4243F8"/>
    <w:rsid w:val="525F796A"/>
    <w:rsid w:val="52EC3E2C"/>
    <w:rsid w:val="5BFF3859"/>
    <w:rsid w:val="5E463F93"/>
    <w:rsid w:val="5F535EDF"/>
    <w:rsid w:val="60372A99"/>
    <w:rsid w:val="65657A92"/>
    <w:rsid w:val="685E6522"/>
    <w:rsid w:val="68FF3508"/>
    <w:rsid w:val="6AAC7AED"/>
    <w:rsid w:val="797C7CA3"/>
    <w:rsid w:val="7AC310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2E74"/>
    <w:pPr>
      <w:widowControl w:val="0"/>
      <w:jc w:val="both"/>
    </w:pPr>
    <w:rPr>
      <w:rFonts w:cs="宋体"/>
      <w:color w:val="000000" w:themeColor="text1"/>
      <w:kern w:val="2"/>
      <w:sz w:val="21"/>
      <w:szCs w:val="21"/>
    </w:rPr>
  </w:style>
  <w:style w:type="paragraph" w:styleId="1">
    <w:name w:val="heading 1"/>
    <w:basedOn w:val="a"/>
    <w:next w:val="a"/>
    <w:qFormat/>
    <w:rsid w:val="00812E74"/>
    <w:pPr>
      <w:keepNext/>
      <w:keepLines/>
      <w:spacing w:line="576" w:lineRule="auto"/>
      <w:outlineLvl w:val="0"/>
    </w:pPr>
    <w:rPr>
      <w:b/>
      <w:kern w:val="44"/>
      <w:sz w:val="44"/>
    </w:rPr>
  </w:style>
  <w:style w:type="paragraph" w:styleId="2">
    <w:name w:val="heading 2"/>
    <w:basedOn w:val="a"/>
    <w:next w:val="a"/>
    <w:link w:val="2Char"/>
    <w:semiHidden/>
    <w:unhideWhenUsed/>
    <w:qFormat/>
    <w:rsid w:val="00812E7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812E74"/>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12E7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12E74"/>
    <w:rPr>
      <w:sz w:val="18"/>
      <w:szCs w:val="18"/>
    </w:rPr>
  </w:style>
  <w:style w:type="paragraph" w:styleId="a4">
    <w:name w:val="footer"/>
    <w:basedOn w:val="a"/>
    <w:link w:val="Char0"/>
    <w:rsid w:val="00812E74"/>
    <w:pPr>
      <w:tabs>
        <w:tab w:val="center" w:pos="4153"/>
        <w:tab w:val="right" w:pos="8306"/>
      </w:tabs>
      <w:snapToGrid w:val="0"/>
      <w:jc w:val="left"/>
    </w:pPr>
    <w:rPr>
      <w:sz w:val="18"/>
      <w:szCs w:val="18"/>
    </w:rPr>
  </w:style>
  <w:style w:type="paragraph" w:styleId="a5">
    <w:name w:val="header"/>
    <w:basedOn w:val="a"/>
    <w:link w:val="Char1"/>
    <w:rsid w:val="00812E7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12E74"/>
    <w:pPr>
      <w:widowControl/>
      <w:spacing w:before="100" w:beforeAutospacing="1" w:after="100" w:afterAutospacing="1"/>
      <w:jc w:val="left"/>
    </w:pPr>
    <w:rPr>
      <w:rFonts w:ascii="宋体" w:eastAsia="宋体" w:hAnsi="宋体"/>
      <w:color w:val="auto"/>
      <w:kern w:val="0"/>
      <w:sz w:val="24"/>
      <w:szCs w:val="24"/>
    </w:rPr>
  </w:style>
  <w:style w:type="character" w:styleId="a7">
    <w:name w:val="Strong"/>
    <w:basedOn w:val="a0"/>
    <w:uiPriority w:val="22"/>
    <w:qFormat/>
    <w:rsid w:val="00812E74"/>
    <w:rPr>
      <w:b/>
      <w:bCs/>
    </w:rPr>
  </w:style>
  <w:style w:type="character" w:styleId="a8">
    <w:name w:val="Hyperlink"/>
    <w:basedOn w:val="a0"/>
    <w:uiPriority w:val="99"/>
    <w:unhideWhenUsed/>
    <w:rsid w:val="00812E74"/>
    <w:rPr>
      <w:color w:val="0000FF"/>
      <w:u w:val="single"/>
    </w:rPr>
  </w:style>
  <w:style w:type="character" w:customStyle="1" w:styleId="Char1">
    <w:name w:val="页眉 Char"/>
    <w:basedOn w:val="a0"/>
    <w:link w:val="a5"/>
    <w:qFormat/>
    <w:rsid w:val="00812E74"/>
    <w:rPr>
      <w:rFonts w:cs="宋体"/>
      <w:color w:val="000000" w:themeColor="text1"/>
      <w:kern w:val="2"/>
      <w:sz w:val="18"/>
      <w:szCs w:val="18"/>
    </w:rPr>
  </w:style>
  <w:style w:type="character" w:customStyle="1" w:styleId="Char0">
    <w:name w:val="页脚 Char"/>
    <w:basedOn w:val="a0"/>
    <w:link w:val="a4"/>
    <w:rsid w:val="00812E74"/>
    <w:rPr>
      <w:rFonts w:cs="宋体"/>
      <w:color w:val="000000" w:themeColor="text1"/>
      <w:kern w:val="2"/>
      <w:sz w:val="18"/>
      <w:szCs w:val="18"/>
    </w:rPr>
  </w:style>
  <w:style w:type="character" w:customStyle="1" w:styleId="2Char">
    <w:name w:val="标题 2 Char"/>
    <w:basedOn w:val="a0"/>
    <w:link w:val="2"/>
    <w:semiHidden/>
    <w:rsid w:val="00812E74"/>
    <w:rPr>
      <w:rFonts w:asciiTheme="majorHAnsi" w:eastAsiaTheme="majorEastAsia" w:hAnsiTheme="majorHAnsi" w:cstheme="majorBidi"/>
      <w:b/>
      <w:bCs/>
      <w:color w:val="000000" w:themeColor="text1"/>
      <w:kern w:val="2"/>
      <w:sz w:val="32"/>
      <w:szCs w:val="32"/>
    </w:rPr>
  </w:style>
  <w:style w:type="character" w:customStyle="1" w:styleId="Char">
    <w:name w:val="批注框文本 Char"/>
    <w:basedOn w:val="a0"/>
    <w:link w:val="a3"/>
    <w:rsid w:val="00812E74"/>
    <w:rPr>
      <w:rFonts w:cs="宋体"/>
      <w:color w:val="000000" w:themeColor="text1"/>
      <w:kern w:val="2"/>
      <w:sz w:val="18"/>
      <w:szCs w:val="18"/>
    </w:rPr>
  </w:style>
  <w:style w:type="character" w:customStyle="1" w:styleId="3Char">
    <w:name w:val="标题 3 Char"/>
    <w:basedOn w:val="a0"/>
    <w:link w:val="3"/>
    <w:semiHidden/>
    <w:rsid w:val="00812E74"/>
    <w:rPr>
      <w:rFonts w:cs="宋体"/>
      <w:b/>
      <w:bCs/>
      <w:color w:val="000000" w:themeColor="text1"/>
      <w:kern w:val="2"/>
      <w:sz w:val="32"/>
      <w:szCs w:val="32"/>
    </w:rPr>
  </w:style>
  <w:style w:type="character" w:customStyle="1" w:styleId="4Char">
    <w:name w:val="标题 4 Char"/>
    <w:basedOn w:val="a0"/>
    <w:link w:val="4"/>
    <w:semiHidden/>
    <w:rsid w:val="00812E74"/>
    <w:rPr>
      <w:rFonts w:asciiTheme="majorHAnsi" w:eastAsiaTheme="majorEastAsia" w:hAnsiTheme="majorHAnsi" w:cstheme="majorBidi"/>
      <w:b/>
      <w:bCs/>
      <w:color w:val="000000" w:themeColor="text1"/>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ztt</dc:creator>
  <cp:lastModifiedBy>lenovo</cp:lastModifiedBy>
  <cp:revision>5</cp:revision>
  <dcterms:created xsi:type="dcterms:W3CDTF">2019-09-13T12:08:00Z</dcterms:created>
  <dcterms:modified xsi:type="dcterms:W3CDTF">2019-10-08T09:45:00Z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